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60"/>
        <w:jc w:val="center"/>
      </w:pPr>
      <w:r>
        <w:rPr>
          <w:rFonts w:ascii="Calibri" w:cs="Calibri" w:eastAsia="Calibri" w:hAnsi="Calibri"/>
          <w:b/>
          <w:bCs/>
          <w:sz w:val="26"/>
          <w:szCs w:val="26"/>
        </w:rPr>
        <w:t xml:space="preserve">UNIVERSITAS [NAMA UNIVERSITAS]</w:t>
      </w:r>
    </w:p>
    <w:p>
      <w:pPr>
        <w:spacing w:after="0" w:before="0" w:line="260"/>
        <w:jc w:val="center"/>
      </w:pPr>
      <w:r>
        <w:rPr>
          <w:rFonts w:ascii="Calibri" w:cs="Calibri" w:eastAsia="Calibri" w:hAnsi="Calibri"/>
          <w:b/>
          <w:bCs/>
          <w:sz w:val="22"/>
          <w:szCs w:val="22"/>
        </w:rPr>
        <w:t xml:space="preserve">FAKULTAS EKONOMI DAN BISNIS</w:t>
      </w:r>
    </w:p>
    <w:p>
      <w:pPr>
        <w:spacing w:after="120" w:before="0" w:line="260"/>
        <w:jc w:val="center"/>
      </w:pPr>
      <w:r>
        <w:rPr>
          <w:rFonts w:ascii="Calibri" w:cs="Calibri" w:eastAsia="Calibri" w:hAnsi="Calibri"/>
          <w:b/>
          <w:bCs/>
          <w:sz w:val="22"/>
          <w:szCs w:val="22"/>
        </w:rPr>
        <w:t xml:space="preserve">PROGRAM STUDI S1 MANAJEMEN</w:t>
      </w:r>
    </w:p>
    <w:p>
      <w:pPr>
        <w:spacing w:after="0" w:before="0" w:line="260"/>
        <w:jc w:val="center"/>
      </w:pPr>
      <w:r>
        <w:rPr>
          <w:rFonts w:ascii="Calibri" w:cs="Calibri" w:eastAsia="Calibri" w:hAnsi="Calibri"/>
          <w:b/>
          <w:bCs/>
          <w:color w:val="1F3864"/>
          <w:sz w:val="28"/>
          <w:szCs w:val="28"/>
        </w:rPr>
        <w:t xml:space="preserve">RENCANA PEMBELAJARAN SEMESTER (RPS)</w:t>
      </w:r>
    </w:p>
    <w:p>
      <w:pPr>
        <w:spacing w:after="200" w:before="0" w:line="260"/>
        <w:jc w:val="center"/>
      </w:pPr>
      <w:r>
        <w:rPr>
          <w:rFonts w:ascii="Calibri" w:cs="Calibri" w:eastAsia="Calibri" w:hAnsi="Calibri"/>
          <w:i/>
          <w:iCs/>
          <w:sz w:val="20"/>
          <w:szCs w:val="20"/>
        </w:rPr>
        <w:t xml:space="preserve">Berbasis Outcome-Based Education (OBE)</w:t>
      </w:r>
    </w:p>
    <w:p>
      <w:pPr>
        <w:pStyle w:val="Heading2"/>
        <w:spacing w:after="100" w:before="240"/>
      </w:pPr>
      <w:r>
        <w:rPr>
          <w:rFonts w:ascii="Calibri" w:cs="Calibri" w:eastAsia="Calibri" w:hAnsi="Calibri"/>
          <w:b/>
          <w:bCs/>
          <w:color w:val="1F3864"/>
          <w:sz w:val="22"/>
          <w:szCs w:val="22"/>
        </w:rPr>
        <w:t xml:space="preserve">A. IDENTITAS MATA KULIAH</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3388"/>
        <w:gridCol w:w="4311"/>
        <w:gridCol w:w="3388"/>
        <w:gridCol w:w="4311"/>
      </w:tblGrid>
      <w:tr>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Mata Kuliah</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Metode Penelitian</w:t>
            </w:r>
          </w:p>
        </w:tc>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Kode MK</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MNJ-3501 (sesuaikan kurikulum)</w:t>
            </w:r>
          </w:p>
        </w:tc>
      </w:tr>
      <w:tr>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Rumpun MK</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Mata Kuliah Keahlian Program Studi</w:t>
            </w:r>
          </w:p>
        </w:tc>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Bobot (SKS)</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3 SKS (T = 2, P = 1)</w:t>
            </w:r>
          </w:p>
        </w:tc>
      </w:tr>
      <w:tr>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Semester</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V (Lima)</w:t>
            </w:r>
          </w:p>
        </w:tc>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Tanggal Penyusunan</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14 September 2026</w:t>
            </w:r>
          </w:p>
        </w:tc>
      </w:tr>
      <w:tr>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Prasyarat</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Statistika Bisnis, Pengantar Manajemen</w:t>
            </w:r>
          </w:p>
        </w:tc>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Tahun Akademik</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2026/2027 Ganjil</w:t>
            </w:r>
          </w:p>
        </w:tc>
      </w:tr>
      <w:tr>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Dosen Pengampu</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[Nama Dosen], [Gelar]</w:t>
            </w:r>
          </w:p>
        </w:tc>
        <w:tc>
          <w:tcPr>
            <w:tcW w:type="dxa" w:w="3388"/>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Koordinator MK</w:t>
            </w:r>
          </w:p>
        </w:tc>
        <w:tc>
          <w:tcPr>
            <w:tcW w:type="dxa" w:w="431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[Nama Koordinator]</w:t>
            </w:r>
          </w:p>
        </w:tc>
      </w:tr>
    </w:tbl>
    <w:p>
      <w:pPr>
        <w:pStyle w:val="Heading2"/>
        <w:spacing w:after="100" w:before="240"/>
      </w:pPr>
      <w:r>
        <w:rPr>
          <w:rFonts w:ascii="Calibri" w:cs="Calibri" w:eastAsia="Calibri" w:hAnsi="Calibri"/>
          <w:b/>
          <w:bCs/>
          <w:color w:val="1F3864"/>
          <w:sz w:val="22"/>
          <w:szCs w:val="22"/>
        </w:rPr>
        <w:t xml:space="preserve">B. CAPAIAN PEMBELAJARAN LULUSAN (CPL) YANG DIBEBANKAN PADA MATA KULIAH</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1848"/>
        <w:gridCol w:w="13550"/>
      </w:tblGrid>
      <w:tr>
        <w:trPr>
          <w:tblHeader/>
        </w:trPr>
        <w:tc>
          <w:tcPr>
            <w:tcW w:type="dxa" w:w="184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Kode CPL</w:t>
            </w:r>
          </w:p>
        </w:tc>
        <w:tc>
          <w:tcPr>
            <w:tcW w:type="dxa" w:w="1355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Rumusan CPL</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CPL-S9</w:t>
            </w:r>
          </w:p>
        </w:tc>
        <w:tc>
          <w:tcPr>
            <w:tcW w:type="dxa" w:w="1355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Menunjukkan sikap bertanggung jawab atas pekerjaan di bidang keahliannya secara mandiri, serta menjunjung tinggi nilai kejujuran dan etika akademik.</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CPL-P3</w:t>
            </w:r>
          </w:p>
        </w:tc>
        <w:tc>
          <w:tcPr>
            <w:tcW w:type="dxa" w:w="1355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Menguasai konsep teoretis, metode, dan perangkat analisis penelitian bisnis dan manajemen, baik pendekatan kuantitatif maupun kualitatif.</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CPL-KU1</w:t>
            </w:r>
          </w:p>
        </w:tc>
        <w:tc>
          <w:tcPr>
            <w:tcW w:type="dxa" w:w="1355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menerapkan pemikiran logis, kritis, sistematis, dan inovatif dalam konteks pengembangan atau implementasi ilmu pengetahuan yang memperhatikan nilai humaniora sesuai bidang keahliannya.</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CPL-KU2</w:t>
            </w:r>
          </w:p>
        </w:tc>
        <w:tc>
          <w:tcPr>
            <w:tcW w:type="dxa" w:w="1355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mengkaji implikasi pengembangan ilmu pengetahuan dan teknologi berdasarkan kaidah, tata cara, dan etika ilmiah dalam rangka menghasilkan solusi, gagasan, dan desain, serta menyusun deskripsi saintifik hasil kajiannya.</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CPL-KK4</w:t>
            </w:r>
          </w:p>
        </w:tc>
        <w:tc>
          <w:tcPr>
            <w:tcW w:type="dxa" w:w="1355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melakukan kajian empiris dan pemodelan dengan menggunakan metode ilmiah pada berbagai tipe organisasi untuk mengidentifikasi dan memecahkan masalah manajerial.</w:t>
            </w:r>
          </w:p>
        </w:tc>
      </w:tr>
    </w:tbl>
    <w:p>
      <w:pPr>
        <w:pStyle w:val="Heading2"/>
        <w:spacing w:after="100" w:before="240"/>
      </w:pPr>
      <w:r>
        <w:rPr>
          <w:rFonts w:ascii="Calibri" w:cs="Calibri" w:eastAsia="Calibri" w:hAnsi="Calibri"/>
          <w:b/>
          <w:bCs/>
          <w:color w:val="1F3864"/>
          <w:sz w:val="22"/>
          <w:szCs w:val="22"/>
        </w:rPr>
        <w:t xml:space="preserve">C. CAPAIAN PEMBELAJARAN MATA KULIAH (CPMK)</w:t>
      </w:r>
    </w:p>
    <w:tbl>
      <w:tblPr>
        <w:tblW w:type="dxa" w:w="15399"/>
        <w:tblBorders>
          <w:top w:val="single" w:color="auto" w:sz="4"/>
          <w:left w:val="single" w:color="auto" w:sz="4"/>
          <w:bottom w:val="single" w:color="auto" w:sz="4"/>
          <w:right w:val="single" w:color="auto" w:sz="4"/>
          <w:insideH w:val="single" w:color="auto" w:sz="4"/>
          <w:insideV w:val="single" w:color="auto" w:sz="4"/>
        </w:tblBorders>
      </w:tblPr>
      <w:tblGrid>
        <w:gridCol w:w="1848"/>
        <w:gridCol w:w="10779"/>
        <w:gridCol w:w="2772"/>
      </w:tblGrid>
      <w:tr>
        <w:trPr>
          <w:tblHeader/>
        </w:trPr>
        <w:tc>
          <w:tcPr>
            <w:tcW w:type="dxa" w:w="184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Kode</w:t>
            </w:r>
          </w:p>
        </w:tc>
        <w:tc>
          <w:tcPr>
            <w:tcW w:type="dxa" w:w="10779"/>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Rumusan CPMK</w:t>
            </w:r>
          </w:p>
        </w:tc>
        <w:tc>
          <w:tcPr>
            <w:tcW w:type="dxa" w:w="2772"/>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Mendukung CPL</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CPMK-1</w:t>
            </w:r>
          </w:p>
        </w:tc>
        <w:tc>
          <w:tcPr>
            <w:tcW w:type="dxa" w:w="1077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Mahasiswa mampu menjelaskan hakikat, paradigma, proses, dan etika penelitian ilmiah di bidang bisnis dan manajemen.</w:t>
            </w:r>
          </w:p>
        </w:tc>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CPL-S9, CPL-P3</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CPMK-2</w:t>
            </w:r>
          </w:p>
        </w:tc>
        <w:tc>
          <w:tcPr>
            <w:tcW w:type="dxa" w:w="1077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Mahasiswa mampu mengidentifikasi research gap, merumuskan masalah dan tujuan penelitian, serta menyusun kajian literatur, kerangka konseptual, dan hipotesis.</w:t>
            </w:r>
          </w:p>
        </w:tc>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CPL-P3, CPL-KU1</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CPMK-3</w:t>
            </w:r>
          </w:p>
        </w:tc>
        <w:tc>
          <w:tcPr>
            <w:tcW w:type="dxa" w:w="1077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Mahasiswa mampu merancang desain penelitian kuantitatif, kualitatif, dan campuran, termasuk penentuan populasi, sampel, dan instrumen penelitian yang valid dan reliabel.</w:t>
            </w:r>
          </w:p>
        </w:tc>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CPL-P3, CPL-KK4</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CPMK-4</w:t>
            </w:r>
          </w:p>
        </w:tc>
        <w:tc>
          <w:tcPr>
            <w:tcW w:type="dxa" w:w="1077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Mahasiswa mampu memilih dan menerapkan teknik analisis data yang tepat serta menginterpretasikan hasilnya untuk menjawab masalah manajerial.</w:t>
            </w:r>
          </w:p>
        </w:tc>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CPL-KU1, CPL-KK4</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CPMK-5</w:t>
            </w:r>
          </w:p>
        </w:tc>
        <w:tc>
          <w:tcPr>
            <w:tcW w:type="dxa" w:w="1077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Mahasiswa mampu menyusun dan mempresentasikan proposal penelitian manajemen sesuai kaidah penulisan ilmiah dan etika akademik.</w:t>
            </w:r>
          </w:p>
        </w:tc>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CPL-S9, CPL-KU2</w:t>
            </w:r>
          </w:p>
        </w:tc>
      </w:tr>
    </w:tbl>
    <w:p>
      <w:pPr>
        <w:pStyle w:val="Heading2"/>
        <w:spacing w:after="100" w:before="240"/>
      </w:pPr>
      <w:r>
        <w:rPr>
          <w:rFonts w:ascii="Calibri" w:cs="Calibri" w:eastAsia="Calibri" w:hAnsi="Calibri"/>
          <w:b/>
          <w:bCs/>
          <w:color w:val="1F3864"/>
          <w:sz w:val="22"/>
          <w:szCs w:val="22"/>
        </w:rPr>
        <w:t xml:space="preserve">D. SUB-CAPAIAN PEMBELAJARAN MATA KULIAH (SUB-CPMK)</w:t>
      </w:r>
    </w:p>
    <w:tbl>
      <w:tblPr>
        <w:tblW w:type="dxa" w:w="15399"/>
        <w:tblBorders>
          <w:top w:val="single" w:color="auto" w:sz="4"/>
          <w:left w:val="single" w:color="auto" w:sz="4"/>
          <w:bottom w:val="single" w:color="auto" w:sz="4"/>
          <w:right w:val="single" w:color="auto" w:sz="4"/>
          <w:insideH w:val="single" w:color="auto" w:sz="4"/>
          <w:insideV w:val="single" w:color="auto" w:sz="4"/>
        </w:tblBorders>
      </w:tblPr>
      <w:tblGrid>
        <w:gridCol w:w="2156"/>
        <w:gridCol w:w="10163"/>
        <w:gridCol w:w="1540"/>
        <w:gridCol w:w="1540"/>
      </w:tblGrid>
      <w:tr>
        <w:trPr>
          <w:tblHeader/>
        </w:trPr>
        <w:tc>
          <w:tcPr>
            <w:tcW w:type="dxa" w:w="215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Kode</w:t>
            </w:r>
          </w:p>
        </w:tc>
        <w:tc>
          <w:tcPr>
            <w:tcW w:type="dxa" w:w="10163"/>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Rumusan Sub-CPMK</w:t>
            </w:r>
          </w:p>
        </w:tc>
        <w:tc>
          <w:tcPr>
            <w:tcW w:type="dxa" w:w="154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Level Taksonomi</w:t>
            </w:r>
          </w:p>
        </w:tc>
        <w:tc>
          <w:tcPr>
            <w:tcW w:type="dxa" w:w="154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CPMK</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Sub-CPMK-1</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menjelaskan konsep, jenis, karakteristik, dan tahapan proses penelitian ilmiah di bidang manajemen.</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C2</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CPMK-1</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Sub-CPMK-2</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membedakan paradigma penelitian (positivisme, interpretivisme, pragmatisme) dan menerapkan prinsip etika penelitian serta anti-plagiarisme.</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C2, A3</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CPMK-1</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Sub-CPMK-3</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mengidentifikasi fenomena dan research gap, serta merumuskan masalah dan tujuan penelitian yang layak diteliti.</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C4</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CPMK-2</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Sub-CPMK-4</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menelusuri literatur ilmiah, menyusun tinjauan pustaka, kerangka konseptual, dan hipotesis penelitian.</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C6</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CPMK-2</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Sub-CPMK-5</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merancang desain penelitian kuantitatif (survei, eksperimen, kausal) sesuai tujuan penelitian.</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C6</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CPMK-3</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Sub-CPMK-6</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merancang desain penelitian kualitatif (studi kasus, fenomenologi) dan metode campuran.</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C6</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CPMK-3</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Sub-CPMK-7</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menentukan populasi, ukuran sampel, dan teknik pengambilan sampel yang tepat.</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C4</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CPMK-3</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Sub-CPMK-8</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mengembangkan instrumen penelitian, skala pengukuran, dan menguji validitas serta reliabilitas.</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C5, P3</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CPMK-3</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Sub-CPMK-9</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memilih dan menerapkan teknik analisis data kuantitatif (deskriptif, uji asumsi, regresi, pengantar SEM-PLS) serta menginterpretasikan hasilnya.</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C3, P3</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CPMK-4</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Sub-CPMK-10</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menerapkan teknik analisis data kualitatif (reduksi data, coding, analisis tematik, triangulasi).</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C3, P3</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CPMK-4</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Sub-CPMK-11</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menyusun proposal penelitian manajemen yang sistematis sesuai kaidah penulisan ilmiah dan sitasi (APA).</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C6</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CPMK-5</w:t>
            </w:r>
          </w:p>
        </w:tc>
      </w:tr>
      <w:tr>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8"/>
                <w:szCs w:val="18"/>
              </w:rPr>
              <w:t xml:space="preserve">Sub-CPMK-12</w:t>
            </w:r>
          </w:p>
        </w:tc>
        <w:tc>
          <w:tcPr>
            <w:tcW w:type="dxa" w:w="10163"/>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Mampu mempresentasikan dan mempertahankan proposal penelitian secara argumentatif dan beretika.</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C6, A4</w:t>
            </w:r>
          </w:p>
        </w:tc>
        <w:tc>
          <w:tcPr>
            <w:tcW w:type="dxa" w:w="154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CPMK-5</w:t>
            </w:r>
          </w:p>
        </w:tc>
      </w:tr>
    </w:tbl>
    <w:p>
      <w:pPr>
        <w:pStyle w:val="Heading2"/>
        <w:spacing w:after="100" w:before="240"/>
      </w:pPr>
      <w:r>
        <w:rPr>
          <w:rFonts w:ascii="Calibri" w:cs="Calibri" w:eastAsia="Calibri" w:hAnsi="Calibri"/>
          <w:b/>
          <w:bCs/>
          <w:color w:val="1F3864"/>
          <w:sz w:val="22"/>
          <w:szCs w:val="22"/>
        </w:rPr>
        <w:t xml:space="preserve">E. MATRIKS KORELASI CPL – CPMK</w:t>
      </w:r>
    </w:p>
    <w:tbl>
      <w:tblPr>
        <w:tblW w:type="dxa" w:w="15396"/>
        <w:tblBorders>
          <w:top w:val="single" w:color="auto" w:sz="4"/>
          <w:left w:val="single" w:color="auto" w:sz="4"/>
          <w:bottom w:val="single" w:color="auto" w:sz="4"/>
          <w:right w:val="single" w:color="auto" w:sz="4"/>
          <w:insideH w:val="single" w:color="auto" w:sz="4"/>
          <w:insideV w:val="single" w:color="auto" w:sz="4"/>
        </w:tblBorders>
      </w:tblPr>
      <w:tblGrid>
        <w:gridCol w:w="2566"/>
        <w:gridCol w:w="2566"/>
        <w:gridCol w:w="2566"/>
        <w:gridCol w:w="2566"/>
        <w:gridCol w:w="2566"/>
        <w:gridCol w:w="2566"/>
      </w:tblGrid>
      <w:tr>
        <w:trPr>
          <w:tblHeader/>
        </w:trPr>
        <w:tc>
          <w:tcPr>
            <w:tcW w:type="dxa" w:w="256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CPMK \ CPL</w:t>
            </w:r>
          </w:p>
        </w:tc>
        <w:tc>
          <w:tcPr>
            <w:tcW w:type="dxa" w:w="256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CPL-S9</w:t>
            </w:r>
          </w:p>
        </w:tc>
        <w:tc>
          <w:tcPr>
            <w:tcW w:type="dxa" w:w="256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CPL-P3</w:t>
            </w:r>
          </w:p>
        </w:tc>
        <w:tc>
          <w:tcPr>
            <w:tcW w:type="dxa" w:w="256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CPL-KU1</w:t>
            </w:r>
          </w:p>
        </w:tc>
        <w:tc>
          <w:tcPr>
            <w:tcW w:type="dxa" w:w="256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CPL-KU2</w:t>
            </w:r>
          </w:p>
        </w:tc>
        <w:tc>
          <w:tcPr>
            <w:tcW w:type="dxa" w:w="256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CPL-KK4</w:t>
            </w:r>
          </w:p>
        </w:tc>
      </w:tr>
      <w:tr>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CPMK-1</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r>
      <w:tr>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CPMK-2</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r>
      <w:tr>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CPMK-3</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r>
      <w:tr>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CPMK-4</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r>
      <w:tr>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CPMK-5</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w:t>
            </w:r>
          </w:p>
        </w:tc>
        <w:tc>
          <w:tcPr>
            <w:tcW w:type="dxa" w:w="256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val="false"/>
                <w:bCs w:val="false"/>
                <w:sz w:val="18"/>
                <w:szCs w:val="18"/>
              </w:rPr>
              <w:t xml:space="preserve"/>
            </w:r>
          </w:p>
        </w:tc>
      </w:tr>
    </w:tbl>
    <w:p>
      <w:pPr>
        <w:pStyle w:val="Heading2"/>
        <w:spacing w:after="100" w:before="240"/>
      </w:pPr>
      <w:r>
        <w:rPr>
          <w:rFonts w:ascii="Calibri" w:cs="Calibri" w:eastAsia="Calibri" w:hAnsi="Calibri"/>
          <w:b/>
          <w:bCs/>
          <w:color w:val="1F3864"/>
          <w:sz w:val="22"/>
          <w:szCs w:val="22"/>
        </w:rPr>
        <w:t xml:space="preserve">F. DESKRIPSI SINGKAT MATA KULIAH</w:t>
      </w:r>
    </w:p>
    <w:p>
      <w:pPr>
        <w:spacing w:after="60" w:before="0" w:line="260"/>
        <w:jc w:val="both"/>
      </w:pPr>
      <w:r>
        <w:rPr>
          <w:rFonts w:ascii="Calibri" w:cs="Calibri" w:eastAsia="Calibri" w:hAnsi="Calibri"/>
          <w:sz w:val="18"/>
          <w:szCs w:val="18"/>
        </w:rPr>
        <w:t xml:space="preserve">Mata kuliah Metode Penelitian membekali mahasiswa dengan kemampuan merancang dan melaksanakan penelitian ilmiah di bidang manajemen (pemasaran, keuangan, SDM, operasional, dan kewirausahaan). Pembahasan mencakup hakikat dan paradigma penelitian, etika penelitian, perumusan masalah, kajian literatur dan hipotesis, desain penelitian kuantitatif, kualitatif, dan campuran, teknik sampling, pengembangan instrumen, analisis data dengan perangkat lunak statistik, hingga penyusunan dan presentasi proposal penelitian. Pembelajaran dilaksanakan dengan pendekatan student-centered learning melalui diskusi, studi kasus, praktik laboratorium, dan project-based learning yang bermuara pada proposal penelitian sebagai dasar penyusunan skripsi.</w:t>
      </w:r>
    </w:p>
    <w:p>
      <w:pPr>
        <w:pStyle w:val="Heading2"/>
        <w:spacing w:after="100" w:before="240"/>
      </w:pPr>
      <w:r>
        <w:rPr>
          <w:rFonts w:ascii="Calibri" w:cs="Calibri" w:eastAsia="Calibri" w:hAnsi="Calibri"/>
          <w:b/>
          <w:bCs/>
          <w:color w:val="1F3864"/>
          <w:sz w:val="22"/>
          <w:szCs w:val="22"/>
        </w:rPr>
        <w:t xml:space="preserve">G. BAHAN KAJIAN / MATERI PEMBELAJARAN</w:t>
      </w:r>
    </w:p>
    <w:p>
      <w:pPr>
        <w:pStyle w:val="ListParagraph"/>
        <w:numPr>
          <w:ilvl w:val="0"/>
          <w:numId w:val="2"/>
        </w:numPr>
        <w:spacing w:after="40" w:line="260"/>
      </w:pPr>
      <w:r>
        <w:rPr>
          <w:rFonts w:ascii="Calibri" w:cs="Calibri" w:eastAsia="Calibri" w:hAnsi="Calibri"/>
          <w:sz w:val="18"/>
          <w:szCs w:val="18"/>
        </w:rPr>
        <w:t xml:space="preserve">Hakikat, jenis, dan proses penelitian ilmiah dalam bisnis dan manajemen</w:t>
      </w:r>
    </w:p>
    <w:p>
      <w:pPr>
        <w:pStyle w:val="ListParagraph"/>
        <w:numPr>
          <w:ilvl w:val="0"/>
          <w:numId w:val="2"/>
        </w:numPr>
        <w:spacing w:after="40" w:line="260"/>
      </w:pPr>
      <w:r>
        <w:rPr>
          <w:rFonts w:ascii="Calibri" w:cs="Calibri" w:eastAsia="Calibri" w:hAnsi="Calibri"/>
          <w:sz w:val="18"/>
          <w:szCs w:val="18"/>
        </w:rPr>
        <w:t xml:space="preserve">Paradigma penelitian, etika penelitian, dan integritas akademik</w:t>
      </w:r>
    </w:p>
    <w:p>
      <w:pPr>
        <w:pStyle w:val="ListParagraph"/>
        <w:numPr>
          <w:ilvl w:val="0"/>
          <w:numId w:val="2"/>
        </w:numPr>
        <w:spacing w:after="40" w:line="260"/>
      </w:pPr>
      <w:r>
        <w:rPr>
          <w:rFonts w:ascii="Calibri" w:cs="Calibri" w:eastAsia="Calibri" w:hAnsi="Calibri"/>
          <w:sz w:val="18"/>
          <w:szCs w:val="18"/>
        </w:rPr>
        <w:t xml:space="preserve">Identifikasi masalah, research gap, rumusan dan tujuan penelitian</w:t>
      </w:r>
    </w:p>
    <w:p>
      <w:pPr>
        <w:pStyle w:val="ListParagraph"/>
        <w:numPr>
          <w:ilvl w:val="0"/>
          <w:numId w:val="2"/>
        </w:numPr>
        <w:spacing w:after="40" w:line="260"/>
      </w:pPr>
      <w:r>
        <w:rPr>
          <w:rFonts w:ascii="Calibri" w:cs="Calibri" w:eastAsia="Calibri" w:hAnsi="Calibri"/>
          <w:sz w:val="18"/>
          <w:szCs w:val="18"/>
        </w:rPr>
        <w:t xml:space="preserve">Penelusuran literatur, manajemen referensi, tinjauan pustaka, kerangka konseptual, dan hipotesis</w:t>
      </w:r>
    </w:p>
    <w:p>
      <w:pPr>
        <w:pStyle w:val="ListParagraph"/>
        <w:numPr>
          <w:ilvl w:val="0"/>
          <w:numId w:val="2"/>
        </w:numPr>
        <w:spacing w:after="40" w:line="260"/>
      </w:pPr>
      <w:r>
        <w:rPr>
          <w:rFonts w:ascii="Calibri" w:cs="Calibri" w:eastAsia="Calibri" w:hAnsi="Calibri"/>
          <w:sz w:val="18"/>
          <w:szCs w:val="18"/>
        </w:rPr>
        <w:t xml:space="preserve">Desain penelitian kuantitatif: survei, eksperimen, kausal-komparatif</w:t>
      </w:r>
    </w:p>
    <w:p>
      <w:pPr>
        <w:pStyle w:val="ListParagraph"/>
        <w:numPr>
          <w:ilvl w:val="0"/>
          <w:numId w:val="2"/>
        </w:numPr>
        <w:spacing w:after="40" w:line="260"/>
      </w:pPr>
      <w:r>
        <w:rPr>
          <w:rFonts w:ascii="Calibri" w:cs="Calibri" w:eastAsia="Calibri" w:hAnsi="Calibri"/>
          <w:sz w:val="18"/>
          <w:szCs w:val="18"/>
        </w:rPr>
        <w:t xml:space="preserve">Desain penelitian kualitatif dan mixed methods</w:t>
      </w:r>
    </w:p>
    <w:p>
      <w:pPr>
        <w:pStyle w:val="ListParagraph"/>
        <w:numPr>
          <w:ilvl w:val="0"/>
          <w:numId w:val="2"/>
        </w:numPr>
        <w:spacing w:after="40" w:line="260"/>
      </w:pPr>
      <w:r>
        <w:rPr>
          <w:rFonts w:ascii="Calibri" w:cs="Calibri" w:eastAsia="Calibri" w:hAnsi="Calibri"/>
          <w:sz w:val="18"/>
          <w:szCs w:val="18"/>
        </w:rPr>
        <w:t xml:space="preserve">Populasi, sampel, dan teknik sampling</w:t>
      </w:r>
    </w:p>
    <w:p>
      <w:pPr>
        <w:pStyle w:val="ListParagraph"/>
        <w:numPr>
          <w:ilvl w:val="0"/>
          <w:numId w:val="2"/>
        </w:numPr>
        <w:spacing w:after="40" w:line="260"/>
      </w:pPr>
      <w:r>
        <w:rPr>
          <w:rFonts w:ascii="Calibri" w:cs="Calibri" w:eastAsia="Calibri" w:hAnsi="Calibri"/>
          <w:sz w:val="18"/>
          <w:szCs w:val="18"/>
        </w:rPr>
        <w:t xml:space="preserve">Instrumen penelitian, skala pengukuran, validitas dan reliabilitas</w:t>
      </w:r>
    </w:p>
    <w:p>
      <w:pPr>
        <w:pStyle w:val="ListParagraph"/>
        <w:numPr>
          <w:ilvl w:val="0"/>
          <w:numId w:val="2"/>
        </w:numPr>
        <w:spacing w:after="40" w:line="260"/>
      </w:pPr>
      <w:r>
        <w:rPr>
          <w:rFonts w:ascii="Calibri" w:cs="Calibri" w:eastAsia="Calibri" w:hAnsi="Calibri"/>
          <w:sz w:val="18"/>
          <w:szCs w:val="18"/>
        </w:rPr>
        <w:t xml:space="preserve">Analisis data kuantitatif: statistik deskriptif, uji asumsi klasik, regresi, pengantar SEM-PLS</w:t>
      </w:r>
    </w:p>
    <w:p>
      <w:pPr>
        <w:pStyle w:val="ListParagraph"/>
        <w:numPr>
          <w:ilvl w:val="0"/>
          <w:numId w:val="2"/>
        </w:numPr>
        <w:spacing w:after="40" w:line="260"/>
      </w:pPr>
      <w:r>
        <w:rPr>
          <w:rFonts w:ascii="Calibri" w:cs="Calibri" w:eastAsia="Calibri" w:hAnsi="Calibri"/>
          <w:sz w:val="18"/>
          <w:szCs w:val="18"/>
        </w:rPr>
        <w:t xml:space="preserve">Analisis data kualitatif: coding, analisis tematik, triangulasi</w:t>
      </w:r>
    </w:p>
    <w:p>
      <w:pPr>
        <w:pStyle w:val="ListParagraph"/>
        <w:numPr>
          <w:ilvl w:val="0"/>
          <w:numId w:val="2"/>
        </w:numPr>
        <w:spacing w:after="40" w:line="260"/>
      </w:pPr>
      <w:r>
        <w:rPr>
          <w:rFonts w:ascii="Calibri" w:cs="Calibri" w:eastAsia="Calibri" w:hAnsi="Calibri"/>
          <w:sz w:val="18"/>
          <w:szCs w:val="18"/>
        </w:rPr>
        <w:t xml:space="preserve">Sistematika proposal penelitian, penulisan ilmiah, dan sitasi gaya APA</w:t>
      </w:r>
    </w:p>
    <w:p>
      <w:pPr>
        <w:pStyle w:val="ListParagraph"/>
        <w:numPr>
          <w:ilvl w:val="0"/>
          <w:numId w:val="2"/>
        </w:numPr>
        <w:spacing w:after="40" w:line="260"/>
      </w:pPr>
      <w:r>
        <w:rPr>
          <w:rFonts w:ascii="Calibri" w:cs="Calibri" w:eastAsia="Calibri" w:hAnsi="Calibri"/>
          <w:sz w:val="18"/>
          <w:szCs w:val="18"/>
        </w:rPr>
        <w:t xml:space="preserve">Teknik presentasi dan argumentasi ilmiah</w:t>
      </w:r>
    </w:p>
    <w:p>
      <w:pPr>
        <w:pStyle w:val="Heading2"/>
        <w:spacing w:after="100" w:before="240"/>
      </w:pPr>
      <w:r>
        <w:rPr>
          <w:rFonts w:ascii="Calibri" w:cs="Calibri" w:eastAsia="Calibri" w:hAnsi="Calibri"/>
          <w:b/>
          <w:bCs/>
          <w:color w:val="1F3864"/>
          <w:sz w:val="22"/>
          <w:szCs w:val="22"/>
        </w:rPr>
        <w:t xml:space="preserve">H. PUSTAKA</w:t>
      </w:r>
    </w:p>
    <w:p>
      <w:pPr>
        <w:spacing w:after="60" w:before="0" w:line="260"/>
        <w:jc w:val="left"/>
      </w:pPr>
      <w:r>
        <w:rPr>
          <w:rFonts w:ascii="Calibri" w:cs="Calibri" w:eastAsia="Calibri" w:hAnsi="Calibri"/>
          <w:b/>
          <w:bCs/>
          <w:sz w:val="18"/>
          <w:szCs w:val="18"/>
        </w:rPr>
        <w:t xml:space="preserve">Utama:</w:t>
      </w:r>
    </w:p>
    <w:p>
      <w:pPr>
        <w:pStyle w:val="ListParagraph"/>
        <w:numPr>
          <w:ilvl w:val="0"/>
          <w:numId w:val="2"/>
        </w:numPr>
        <w:spacing w:after="40" w:line="260"/>
      </w:pPr>
      <w:r>
        <w:rPr>
          <w:rFonts w:ascii="Calibri" w:cs="Calibri" w:eastAsia="Calibri" w:hAnsi="Calibri"/>
          <w:sz w:val="18"/>
          <w:szCs w:val="18"/>
        </w:rPr>
        <w:t xml:space="preserve">Sekaran, U., &amp; Bougie, R. (2016). Research Methods for Business: A Skill-Building Approach (7th ed.). Wiley.</w:t>
      </w:r>
    </w:p>
    <w:p>
      <w:pPr>
        <w:pStyle w:val="ListParagraph"/>
        <w:numPr>
          <w:ilvl w:val="0"/>
          <w:numId w:val="2"/>
        </w:numPr>
        <w:spacing w:after="40" w:line="260"/>
      </w:pPr>
      <w:r>
        <w:rPr>
          <w:rFonts w:ascii="Calibri" w:cs="Calibri" w:eastAsia="Calibri" w:hAnsi="Calibri"/>
          <w:sz w:val="18"/>
          <w:szCs w:val="18"/>
        </w:rPr>
        <w:t xml:space="preserve">Cooper, D. R., &amp; Schindler, P. S. (2014). Business Research Methods (12th ed.). McGraw-Hill.</w:t>
      </w:r>
    </w:p>
    <w:p>
      <w:pPr>
        <w:pStyle w:val="ListParagraph"/>
        <w:numPr>
          <w:ilvl w:val="0"/>
          <w:numId w:val="2"/>
        </w:numPr>
        <w:spacing w:after="40" w:line="260"/>
      </w:pPr>
      <w:r>
        <w:rPr>
          <w:rFonts w:ascii="Calibri" w:cs="Calibri" w:eastAsia="Calibri" w:hAnsi="Calibri"/>
          <w:sz w:val="18"/>
          <w:szCs w:val="18"/>
        </w:rPr>
        <w:t xml:space="preserve">Creswell, J. W., &amp; Creswell, J. D. (2018). Research Design: Qualitative, Quantitative, and Mixed Methods Approaches (5th ed.). SAGE.</w:t>
      </w:r>
    </w:p>
    <w:p>
      <w:pPr>
        <w:pStyle w:val="ListParagraph"/>
        <w:numPr>
          <w:ilvl w:val="0"/>
          <w:numId w:val="2"/>
        </w:numPr>
        <w:spacing w:after="40" w:line="260"/>
      </w:pPr>
      <w:r>
        <w:rPr>
          <w:rFonts w:ascii="Calibri" w:cs="Calibri" w:eastAsia="Calibri" w:hAnsi="Calibri"/>
          <w:sz w:val="18"/>
          <w:szCs w:val="18"/>
        </w:rPr>
        <w:t xml:space="preserve">Sugiyono. (2019). Metode Penelitian Kuantitatif, Kualitatif, dan R&amp;D. Alfabeta.</w:t>
      </w:r>
    </w:p>
    <w:p>
      <w:pPr>
        <w:spacing w:after="60" w:before="80" w:line="260"/>
        <w:jc w:val="left"/>
      </w:pPr>
      <w:r>
        <w:rPr>
          <w:rFonts w:ascii="Calibri" w:cs="Calibri" w:eastAsia="Calibri" w:hAnsi="Calibri"/>
          <w:b/>
          <w:bCs/>
          <w:sz w:val="18"/>
          <w:szCs w:val="18"/>
        </w:rPr>
        <w:t xml:space="preserve">Pendukung:</w:t>
      </w:r>
    </w:p>
    <w:p>
      <w:pPr>
        <w:pStyle w:val="ListParagraph"/>
        <w:numPr>
          <w:ilvl w:val="0"/>
          <w:numId w:val="2"/>
        </w:numPr>
        <w:spacing w:after="40" w:line="260"/>
      </w:pPr>
      <w:r>
        <w:rPr>
          <w:rFonts w:ascii="Calibri" w:cs="Calibri" w:eastAsia="Calibri" w:hAnsi="Calibri"/>
          <w:sz w:val="18"/>
          <w:szCs w:val="18"/>
        </w:rPr>
        <w:t xml:space="preserve">Hair, J. F., Black, W. C., Babin, B. J., &amp; Anderson, R. E. (2019). Multivariate Data Analysis (8th ed.). Cengage.</w:t>
      </w:r>
    </w:p>
    <w:p>
      <w:pPr>
        <w:pStyle w:val="ListParagraph"/>
        <w:numPr>
          <w:ilvl w:val="0"/>
          <w:numId w:val="2"/>
        </w:numPr>
        <w:spacing w:after="40" w:line="260"/>
      </w:pPr>
      <w:r>
        <w:rPr>
          <w:rFonts w:ascii="Calibri" w:cs="Calibri" w:eastAsia="Calibri" w:hAnsi="Calibri"/>
          <w:sz w:val="18"/>
          <w:szCs w:val="18"/>
        </w:rPr>
        <w:t xml:space="preserve">Hair, J. F., Hult, G. T. M., Ringle, C. M., &amp; Sarstedt, M. (2022). A Primer on Partial Least Squares Structural Equation Modeling (PLS-SEM) (3rd ed.). SAGE.</w:t>
      </w:r>
    </w:p>
    <w:p>
      <w:pPr>
        <w:pStyle w:val="ListParagraph"/>
        <w:numPr>
          <w:ilvl w:val="0"/>
          <w:numId w:val="2"/>
        </w:numPr>
        <w:spacing w:after="40" w:line="260"/>
      </w:pPr>
      <w:r>
        <w:rPr>
          <w:rFonts w:ascii="Calibri" w:cs="Calibri" w:eastAsia="Calibri" w:hAnsi="Calibri"/>
          <w:sz w:val="18"/>
          <w:szCs w:val="18"/>
        </w:rPr>
        <w:t xml:space="preserve">Ghozali, I. (2018). Aplikasi Analisis Multivariate dengan Program IBM SPSS 25. Badan Penerbit Universitas Diponegoro.</w:t>
      </w:r>
    </w:p>
    <w:p>
      <w:pPr>
        <w:pStyle w:val="ListParagraph"/>
        <w:numPr>
          <w:ilvl w:val="0"/>
          <w:numId w:val="2"/>
        </w:numPr>
        <w:spacing w:after="40" w:line="260"/>
      </w:pPr>
      <w:r>
        <w:rPr>
          <w:rFonts w:ascii="Calibri" w:cs="Calibri" w:eastAsia="Calibri" w:hAnsi="Calibri"/>
          <w:sz w:val="18"/>
          <w:szCs w:val="18"/>
        </w:rPr>
        <w:t xml:space="preserve">Saunders, M., Lewis, P., &amp; Thornhill, A. (2019). Research Methods for Business Students (8th ed.). Pearson.</w:t>
      </w:r>
    </w:p>
    <w:p>
      <w:pPr>
        <w:pStyle w:val="ListParagraph"/>
        <w:numPr>
          <w:ilvl w:val="0"/>
          <w:numId w:val="2"/>
        </w:numPr>
        <w:spacing w:after="40" w:line="260"/>
      </w:pPr>
      <w:r>
        <w:rPr>
          <w:rFonts w:ascii="Calibri" w:cs="Calibri" w:eastAsia="Calibri" w:hAnsi="Calibri"/>
          <w:sz w:val="18"/>
          <w:szCs w:val="18"/>
        </w:rPr>
        <w:t xml:space="preserve">Artikel jurnal bereputasi (Scopus/SINTA) yang relevan dengan topik penelitian mahasiswa.</w:t>
      </w:r>
    </w:p>
    <w:p>
      <w:pPr>
        <w:pStyle w:val="Heading2"/>
        <w:spacing w:after="100" w:before="240"/>
      </w:pPr>
      <w:r>
        <w:rPr>
          <w:rFonts w:ascii="Calibri" w:cs="Calibri" w:eastAsia="Calibri" w:hAnsi="Calibri"/>
          <w:b/>
          <w:bCs/>
          <w:color w:val="1F3864"/>
          <w:sz w:val="22"/>
          <w:szCs w:val="22"/>
        </w:rPr>
        <w:t xml:space="preserve">I. MEDIA PEMBELAJARAN</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rPr>
          <w:tblHeader/>
        </w:trPr>
        <w:tc>
          <w:tcPr>
            <w:tcW w:type="dxa" w:w="7699"/>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Perangkat Lunak</w:t>
            </w:r>
          </w:p>
        </w:tc>
        <w:tc>
          <w:tcPr>
            <w:tcW w:type="dxa" w:w="7699"/>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Perangkat Keras</w:t>
            </w:r>
          </w:p>
        </w:tc>
      </w:tr>
      <w:tr>
        <w:tc>
          <w:tcPr>
            <w:tcW w:type="dxa" w:w="769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LMS (e-learning kampus), MS PowerPoint, Mendeley/Zotero, SPSS, SmartPLS, NVivo/ATLAS.ti (pengenalan), Google Scholar, Scopus, Turnitin</w:t>
            </w:r>
          </w:p>
        </w:tc>
        <w:tc>
          <w:tcPr>
            <w:tcW w:type="dxa" w:w="769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Laptop/PC, LCD proyektor, papan tulis, laboratorium komputer, jaringan internet</w:t>
            </w:r>
          </w:p>
        </w:tc>
      </w:tr>
    </w:tbl>
    <w:p>
      <w:pPr>
        <w:pageBreakBefore/>
      </w:pPr>
    </w:p>
    <w:p>
      <w:pPr>
        <w:pStyle w:val="Heading2"/>
        <w:spacing w:after="100" w:before="240"/>
      </w:pPr>
      <w:r>
        <w:rPr>
          <w:rFonts w:ascii="Calibri" w:cs="Calibri" w:eastAsia="Calibri" w:hAnsi="Calibri"/>
          <w:b/>
          <w:bCs/>
          <w:color w:val="1F3864"/>
          <w:sz w:val="22"/>
          <w:szCs w:val="22"/>
        </w:rPr>
        <w:t xml:space="preserve">J. RENCANA PEMBELAJARAN MINGGUAN</w:t>
      </w:r>
    </w:p>
    <w:tbl>
      <w:tblPr>
        <w:tblW w:type="dxa" w:w="15400"/>
        <w:tblBorders>
          <w:top w:val="single" w:color="auto" w:sz="4"/>
          <w:left w:val="single" w:color="auto" w:sz="4"/>
          <w:bottom w:val="single" w:color="auto" w:sz="4"/>
          <w:right w:val="single" w:color="auto" w:sz="4"/>
          <w:insideH w:val="single" w:color="auto" w:sz="4"/>
          <w:insideV w:val="single" w:color="auto" w:sz="4"/>
        </w:tblBorders>
      </w:tblPr>
      <w:tblGrid>
        <w:gridCol w:w="770"/>
        <w:gridCol w:w="2002"/>
        <w:gridCol w:w="2310"/>
        <w:gridCol w:w="2156"/>
        <w:gridCol w:w="2464"/>
        <w:gridCol w:w="3388"/>
        <w:gridCol w:w="1078"/>
        <w:gridCol w:w="1232"/>
      </w:tblGrid>
      <w:tr>
        <w:trPr>
          <w:tblHeader/>
        </w:trPr>
        <w:tc>
          <w:tcPr>
            <w:tcW w:type="dxa" w:w="77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Mg ke-</w:t>
            </w:r>
          </w:p>
        </w:tc>
        <w:tc>
          <w:tcPr>
            <w:tcW w:type="dxa" w:w="2002"/>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Sub-CPMK</w:t>
            </w:r>
          </w:p>
        </w:tc>
        <w:tc>
          <w:tcPr>
            <w:tcW w:type="dxa" w:w="231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Indikator Penilaian</w:t>
            </w:r>
          </w:p>
        </w:tc>
        <w:tc>
          <w:tcPr>
            <w:tcW w:type="dxa" w:w="2156"/>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Kriteria &amp; Bentuk Penilaian</w:t>
            </w:r>
          </w:p>
        </w:tc>
        <w:tc>
          <w:tcPr>
            <w:tcW w:type="dxa" w:w="2464"/>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Bentuk/Metode Pembelajaran &amp; Estimasi Waktu</w:t>
            </w:r>
          </w:p>
        </w:tc>
        <w:tc>
          <w:tcPr>
            <w:tcW w:type="dxa" w:w="338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Materi Pembelajaran</w:t>
            </w:r>
          </w:p>
        </w:tc>
        <w:tc>
          <w:tcPr>
            <w:tcW w:type="dxa" w:w="107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Modus</w:t>
            </w:r>
          </w:p>
        </w:tc>
        <w:tc>
          <w:tcPr>
            <w:tcW w:type="dxa" w:w="1232"/>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6"/>
                <w:szCs w:val="16"/>
              </w:rPr>
              <w:t xml:space="preserve">Bobot (%)</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Sub-CPMK-1</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menjelaskan konsep, jenis, dan tahapan penelitian ilmiah</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partisipasi. Bentuk: diskusi, kuis singkat</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Ceramah interaktif, diskusi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Kontrak kuliah; hakikat penelitian ilmiah; jenis penelitian (eksploratif, deskriptif, kausal); proses penelitian bisnis</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2</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2</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Sub-CPMK-2</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membedakan paradigma penelitian; kesesuaian sikap terhadap etika penelitian</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analisis kasus. Bentuk: tugas analisis kasus etika</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Case-based learning, diskusi kelompok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Paradigma positivisme, interpretivisme, pragmatisme; etika penelitian; plagiarisme dan integritas akademik; pengenalan Turnitin</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2</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3</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Sub-CPMK-3</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mengidentifikasi research gap; kelayakan rumusan masalah dan tujuan penelitian</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rumusan masalah. Bentuk: Tugas 1 – rumusan masalah</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Problem-based learning, diskusi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Sumber masalah penelitian; fenomena bisnis dan research gap; kriteria rumusan masalah yang baik; tujuan dan manfaat penelitian</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4</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4</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Sub-CPMK-4</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menelusuri dan mengelola literatur ilmiah; kualitas ringkasan literatur</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tinjauan pustaka. Bentuk: praktik penelusuran dan matriks literatur</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Praktik laboratorium, demonstrasi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Penelusuran literatur (Google Scholar, Scopus, SINTA); manajemen referensi (Mendeley/Zotero); matriks literatur; sitasi gaya APA 7</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 Daring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4</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Sub-CPMK-4</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menyusun kerangka konseptual dan merumuskan hipotesis</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kerangka konseptual. Bentuk: Tugas 2 – kerangka konseptual dan hipotesis</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Diskusi kelompok, presentasi mini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Landasan teori; variabel penelitian (independen, dependen, mediasi, moderasi); kerangka konseptual; jenis dan perumusan hipotesis</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4</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6</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Sub-CPMK-5</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memilih dan merancang desain penelitian kuantitatif</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desain penelitian. Bentuk: latihan merancang desain</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Ceramah, studi kasus artikel jurnal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Desain survei, eksperimen, kausal-komparatif; validitas internal dan eksternal; cross-sectional vs longitudinal</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7</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Sub-CPMK-6</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merancang desain kualitatif dan mixed methods sesuai masalah penelitian</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desain penelitian. Bentuk: tugas review artikel kualitatif</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Diskusi, bedah artikel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Studi kasus, fenomenologi, grounded theory; teknik wawancara dan observasi; desain mixed methods</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4</w:t>
            </w:r>
          </w:p>
        </w:tc>
      </w:tr>
      <w:tr>
        <w:tc>
          <w:tcPr>
            <w:tcW w:type="dxa" w:w="770"/>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8</w:t>
            </w:r>
          </w:p>
        </w:tc>
        <w:tc>
          <w:tcPr>
            <w:tcW w:type="dxa" w:w="2002"/>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Sub-CPMK-1 s.d. 6</w:t>
            </w:r>
          </w:p>
        </w:tc>
        <w:tc>
          <w:tcPr>
            <w:tcW w:type="dxa" w:w="2310"/>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menjawab soal konseptual dan analisis kasus</w:t>
            </w:r>
          </w:p>
        </w:tc>
        <w:tc>
          <w:tcPr>
            <w:tcW w:type="dxa" w:w="2156"/>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kunci jawaban dan rubrik. Bentuk: UTS (tes tertulis)</w:t>
            </w:r>
          </w:p>
        </w:tc>
        <w:tc>
          <w:tcPr>
            <w:tcW w:type="dxa" w:w="2464"/>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Ujian Tengah Semester [2×50′]</w:t>
            </w:r>
          </w:p>
        </w:tc>
        <w:tc>
          <w:tcPr>
            <w:tcW w:type="dxa" w:w="3388"/>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Materi minggu 1–7</w:t>
            </w:r>
          </w:p>
        </w:tc>
        <w:tc>
          <w:tcPr>
            <w:tcW w:type="dxa" w:w="1078"/>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20</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9</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Sub-CPMK-7</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menentukan populasi, ukuran sampel, dan teknik sampling</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latihan. Bentuk: latihan perhitungan sampel</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Ceramah, latihan soal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Populasi dan sampel; probability dan non-probability sampling; penentuan ukuran sampel (Slovin, Hair, G*Power)</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10</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Sub-CPMK-8</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menyusun instrumen dan menguji validitas dan reliabilitas</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instrumen. Bentuk: Tugas 3 – instrumen dan uji coba</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Praktik laboratorium SPSS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Definisi operasional; skala pengukuran (Likert, semantic differential); penyusunan kuesioner; uji validitas dan reliabilitas</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11</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Sub-CPMK-9</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memilih uji statistik dan menginterpretasikan output</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laporan praktikum. Bentuk: laporan praktikum</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Praktik laboratorium SPSS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Statistik deskriptif; uji asumsi klasik; regresi linier sederhana dan berganda; uji hipotesis (t, F, R²)</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12</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Sub-CPMK-9</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menerapkan dan menginterpretasikan model SEM-PLS dasar</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laporan praktikum. Bentuk: laporan praktikum</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Praktik laboratorium SmartPLS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Pengantar SEM-PLS; outer model dan inner model; mediasi dan moderasi; interpretasi hasil</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13</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Sub-CPMK-10</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Ketepatan melakukan coding dan analisis tematik data kualitatif</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analisis kualitatif. Bentuk: latihan coding transkrip</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Praktik, diskusi kelompok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Reduksi data; open, axial, selective coding; analisis tematik; triangulasi dan keabsahan data; pengenalan NVivo</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14</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Sub-CPMK-11</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Kelengkapan dan kesesuaian sistematika proposal; ketepatan sitasi</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proposal. Bentuk: draf proposal (Bab 1–3)</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Project-based learning, bimbingan kelompok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Sistematika proposal (latar belakang, tinjauan pustaka, metode); teknik penulisan ilmiah; sitasi APA; cek similaritas</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 Daring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15</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Sub-CPMK-12</w:t>
            </w:r>
          </w:p>
        </w:tc>
        <w:tc>
          <w:tcPr>
            <w:tcW w:type="dxa" w:w="231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Kejelasan penyampaian; kemampuan argumentasi dan menanggapi kritik</w:t>
            </w:r>
          </w:p>
        </w:tc>
        <w:tc>
          <w:tcPr>
            <w:tcW w:type="dxa" w:w="2156"/>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presentasi. Bentuk: presentasi dan peer review</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Presentasi, peer review, diskusi [TM 2×50′; PT 2×60′; BM 2×60′]</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Teknik presentasi ilmiah; menanggapi pertanyaan; revisi proposal berdasarkan umpan balik</w:t>
            </w:r>
          </w:p>
        </w:tc>
        <w:tc>
          <w:tcPr>
            <w:tcW w:type="dxa" w:w="107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w:t>
            </w:r>
          </w:p>
        </w:tc>
        <w:tc>
          <w:tcPr>
            <w:tcW w:type="dxa" w:w="123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5</w:t>
            </w:r>
          </w:p>
        </w:tc>
      </w:tr>
      <w:tr>
        <w:tc>
          <w:tcPr>
            <w:tcW w:type="dxa" w:w="770"/>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16</w:t>
            </w:r>
          </w:p>
        </w:tc>
        <w:tc>
          <w:tcPr>
            <w:tcW w:type="dxa" w:w="2002"/>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Sub-CPMK-7 s.d. 12</w:t>
            </w:r>
          </w:p>
        </w:tc>
        <w:tc>
          <w:tcPr>
            <w:tcW w:type="dxa" w:w="2310"/>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Kualitas proposal penelitian akhir (orisinalitas, koherensi, kelayakan metode)</w:t>
            </w:r>
          </w:p>
        </w:tc>
        <w:tc>
          <w:tcPr>
            <w:tcW w:type="dxa" w:w="2156"/>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Kriteria: rubrik proposal. Bentuk: UAS – proposal penelitian final</w:t>
            </w:r>
          </w:p>
        </w:tc>
        <w:tc>
          <w:tcPr>
            <w:tcW w:type="dxa" w:w="2464"/>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Ujian Akhir Semester (pengumpulan proposal)</w:t>
            </w:r>
          </w:p>
        </w:tc>
        <w:tc>
          <w:tcPr>
            <w:tcW w:type="dxa" w:w="3388"/>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left"/>
            </w:pPr>
            <w:r>
              <w:rPr>
                <w:rFonts w:ascii="Calibri" w:cs="Calibri" w:eastAsia="Calibri" w:hAnsi="Calibri"/>
                <w:sz w:val="16"/>
                <w:szCs w:val="16"/>
              </w:rPr>
              <w:t xml:space="preserve">Proposal penelitian lengkap (Bab 1–3) dan instrumen</w:t>
            </w:r>
          </w:p>
        </w:tc>
        <w:tc>
          <w:tcPr>
            <w:tcW w:type="dxa" w:w="1078"/>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Luring/ Daring</w:t>
            </w:r>
          </w:p>
        </w:tc>
        <w:tc>
          <w:tcPr>
            <w:tcW w:type="dxa" w:w="1232"/>
            <w:tcBorders>
              <w:top w:val="single" w:color="808080" w:sz="4"/>
              <w:left w:val="single" w:color="808080" w:sz="4"/>
              <w:bottom w:val="single" w:color="808080" w:sz="4"/>
              <w:right w:val="single" w:color="808080" w:sz="4"/>
            </w:tcBorders>
            <w:shd w:fill="FFF2CC" w:color="auto" w:val="clear"/>
            <w:tcMar>
              <w:top w:type="dxa" w:w="60"/>
              <w:left w:type="dxa" w:w="90"/>
              <w:bottom w:type="dxa" w:w="60"/>
              <w:right w:type="dxa" w:w="90"/>
            </w:tcMar>
            <w:vAlign w:val="top"/>
          </w:tcPr>
          <w:p>
            <w:pPr>
              <w:spacing w:after="0" w:before="0" w:line="260"/>
              <w:jc w:val="center"/>
            </w:pPr>
            <w:r>
              <w:rPr>
                <w:rFonts w:ascii="Calibri" w:cs="Calibri" w:eastAsia="Calibri" w:hAnsi="Calibri"/>
                <w:sz w:val="16"/>
                <w:szCs w:val="16"/>
              </w:rPr>
              <w:t xml:space="preserve">20</w:t>
            </w:r>
          </w:p>
        </w:tc>
      </w:tr>
      <w:tr>
        <w:tc>
          <w:tcPr>
            <w:tcW w:type="dxa" w:w="14168"/>
            <w:gridSpan w:val="7"/>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right"/>
            </w:pPr>
            <w:r>
              <w:rPr>
                <w:rFonts w:ascii="Calibri" w:cs="Calibri" w:eastAsia="Calibri" w:hAnsi="Calibri"/>
                <w:b/>
                <w:bCs/>
                <w:sz w:val="18"/>
                <w:szCs w:val="18"/>
              </w:rPr>
              <w:t xml:space="preserve">Total Bobot</w:t>
            </w:r>
          </w:p>
        </w:tc>
        <w:tc>
          <w:tcPr>
            <w:tcW w:type="dxa" w:w="1232"/>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100</w:t>
            </w:r>
          </w:p>
        </w:tc>
      </w:tr>
    </w:tbl>
    <w:p>
      <w:pPr>
        <w:spacing w:after="60" w:before="80" w:line="260"/>
        <w:jc w:val="left"/>
      </w:pPr>
      <w:r>
        <w:rPr>
          <w:rFonts w:ascii="Calibri" w:cs="Calibri" w:eastAsia="Calibri" w:hAnsi="Calibri"/>
          <w:i/>
          <w:iCs/>
          <w:sz w:val="16"/>
          <w:szCs w:val="16"/>
        </w:rPr>
        <w:t xml:space="preserve">Keterangan: TM = Tatap Muka; PT = Penugasan Terstruktur; BM = Belajar Mandiri. Alokasi 1 SKS = 50 menit TM + 60 menit PT + 60 menit BM per minggu.</w:t>
      </w:r>
    </w:p>
    <w:p>
      <w:pPr>
        <w:pStyle w:val="Heading2"/>
        <w:spacing w:after="100" w:before="240"/>
      </w:pPr>
      <w:r>
        <w:rPr>
          <w:rFonts w:ascii="Calibri" w:cs="Calibri" w:eastAsia="Calibri" w:hAnsi="Calibri"/>
          <w:b/>
          <w:bCs/>
          <w:color w:val="1F3864"/>
          <w:sz w:val="22"/>
          <w:szCs w:val="22"/>
        </w:rPr>
        <w:t xml:space="preserve">K. RENCANA PENILAIAN DAN EVALUASI</w:t>
      </w:r>
    </w:p>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4619"/>
        <w:gridCol w:w="6929"/>
        <w:gridCol w:w="1848"/>
        <w:gridCol w:w="2002"/>
      </w:tblGrid>
      <w:tr>
        <w:trPr>
          <w:tblHeader/>
        </w:trPr>
        <w:tc>
          <w:tcPr>
            <w:tcW w:type="dxa" w:w="4619"/>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Komponen</w:t>
            </w:r>
          </w:p>
        </w:tc>
        <w:tc>
          <w:tcPr>
            <w:tcW w:type="dxa" w:w="6929"/>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Deskripsi</w:t>
            </w:r>
          </w:p>
        </w:tc>
        <w:tc>
          <w:tcPr>
            <w:tcW w:type="dxa" w:w="184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CPMK</w:t>
            </w:r>
          </w:p>
        </w:tc>
        <w:tc>
          <w:tcPr>
            <w:tcW w:type="dxa" w:w="2002"/>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Bobot (%)</w:t>
            </w:r>
          </w:p>
        </w:tc>
      </w:tr>
      <w:tr>
        <w:tc>
          <w:tcPr>
            <w:tcW w:type="dxa" w:w="461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Kehadiran dan partisipasi</w:t>
            </w:r>
          </w:p>
        </w:tc>
        <w:tc>
          <w:tcPr>
            <w:tcW w:type="dxa" w:w="692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Keaktifan dalam diskusi, kuis, dan analisis kasus (minggu 1–2, 6–7)</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CPMK-1, 3</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10</w:t>
            </w:r>
          </w:p>
        </w:tc>
      </w:tr>
      <w:tr>
        <w:tc>
          <w:tcPr>
            <w:tcW w:type="dxa" w:w="461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Tugas terstruktur (Tugas 1–3)</w:t>
            </w:r>
          </w:p>
        </w:tc>
        <w:tc>
          <w:tcPr>
            <w:tcW w:type="dxa" w:w="692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Rumusan masalah, kerangka konseptual dan hipotesis, instrumen penelitian</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CPMK-2, 3</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25</w:t>
            </w:r>
          </w:p>
        </w:tc>
      </w:tr>
      <w:tr>
        <w:tc>
          <w:tcPr>
            <w:tcW w:type="dxa" w:w="461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Laporan praktikum analisis data</w:t>
            </w:r>
          </w:p>
        </w:tc>
        <w:tc>
          <w:tcPr>
            <w:tcW w:type="dxa" w:w="692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Praktik SPSS, SmartPLS, dan analisis kualitatif (minggu 9–13)</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CPMK-4</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20</w:t>
            </w:r>
          </w:p>
        </w:tc>
      </w:tr>
      <w:tr>
        <w:tc>
          <w:tcPr>
            <w:tcW w:type="dxa" w:w="461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Presentasi proposal</w:t>
            </w:r>
          </w:p>
        </w:tc>
        <w:tc>
          <w:tcPr>
            <w:tcW w:type="dxa" w:w="692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Presentasi dan peer review (minggu 14–15)</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CPMK-5</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5</w:t>
            </w:r>
          </w:p>
        </w:tc>
      </w:tr>
      <w:tr>
        <w:tc>
          <w:tcPr>
            <w:tcW w:type="dxa" w:w="461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Ujian Tengah Semester</w:t>
            </w:r>
          </w:p>
        </w:tc>
        <w:tc>
          <w:tcPr>
            <w:tcW w:type="dxa" w:w="692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Tes tertulis konseptual dan analisis kasus</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CPMK-1, 2, 3</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20</w:t>
            </w:r>
          </w:p>
        </w:tc>
      </w:tr>
      <w:tr>
        <w:tc>
          <w:tcPr>
            <w:tcW w:type="dxa" w:w="461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Ujian Akhir Semester</w:t>
            </w:r>
          </w:p>
        </w:tc>
        <w:tc>
          <w:tcPr>
            <w:tcW w:type="dxa" w:w="6929"/>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sz w:val="18"/>
                <w:szCs w:val="18"/>
              </w:rPr>
              <w:t xml:space="preserve">Proposal penelitian final (Bab 1–3)</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CPMK-3, 4, 5</w:t>
            </w:r>
          </w:p>
        </w:tc>
        <w:tc>
          <w:tcPr>
            <w:tcW w:type="dxa" w:w="200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20</w:t>
            </w:r>
          </w:p>
        </w:tc>
      </w:tr>
      <w:tr>
        <w:tc>
          <w:tcPr>
            <w:tcW w:type="dxa" w:w="13396"/>
            <w:gridSpan w:val="3"/>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right"/>
            </w:pPr>
            <w:r>
              <w:rPr>
                <w:rFonts w:ascii="Calibri" w:cs="Calibri" w:eastAsia="Calibri" w:hAnsi="Calibri"/>
                <w:b/>
                <w:bCs/>
                <w:sz w:val="18"/>
                <w:szCs w:val="18"/>
              </w:rPr>
              <w:t xml:space="preserve">Total</w:t>
            </w:r>
          </w:p>
        </w:tc>
        <w:tc>
          <w:tcPr>
            <w:tcW w:type="dxa" w:w="2002"/>
            <w:tcBorders>
              <w:top w:val="single" w:color="808080" w:sz="4"/>
              <w:left w:val="single" w:color="808080" w:sz="4"/>
              <w:bottom w:val="single" w:color="808080" w:sz="4"/>
              <w:right w:val="single" w:color="808080" w:sz="4"/>
            </w:tcBorders>
            <w:shd w:fill="F2F2F2" w:color="auto" w:val="clear"/>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100</w:t>
            </w:r>
          </w:p>
        </w:tc>
      </w:tr>
    </w:tbl>
    <w:p>
      <w:pPr>
        <w:spacing w:after="60" w:before="160" w:line="260"/>
        <w:jc w:val="left"/>
      </w:pPr>
      <w:r>
        <w:rPr>
          <w:rFonts w:ascii="Calibri" w:cs="Calibri" w:eastAsia="Calibri" w:hAnsi="Calibri"/>
          <w:b/>
          <w:bCs/>
          <w:sz w:val="18"/>
          <w:szCs w:val="18"/>
        </w:rPr>
        <w:t xml:space="preserve">Konversi nilai akhir (sesuaikan dengan peraturan akademik institusi):</w:t>
      </w:r>
    </w:p>
    <w:tbl>
      <w:tblPr>
        <w:tblW w:type="dxa" w:w="15400"/>
        <w:tblBorders>
          <w:top w:val="single" w:color="auto" w:sz="4"/>
          <w:left w:val="single" w:color="auto" w:sz="4"/>
          <w:bottom w:val="single" w:color="auto" w:sz="4"/>
          <w:right w:val="single" w:color="auto" w:sz="4"/>
          <w:insideH w:val="single" w:color="auto" w:sz="4"/>
          <w:insideV w:val="single" w:color="auto" w:sz="4"/>
        </w:tblBorders>
      </w:tblPr>
      <w:tblGrid>
        <w:gridCol w:w="1848"/>
        <w:gridCol w:w="2464"/>
        <w:gridCol w:w="1848"/>
        <w:gridCol w:w="2464"/>
        <w:gridCol w:w="1848"/>
        <w:gridCol w:w="2464"/>
        <w:gridCol w:w="2464"/>
      </w:tblGrid>
      <w:tr>
        <w:trPr>
          <w:tblHeader/>
        </w:trPr>
        <w:tc>
          <w:tcPr>
            <w:tcW w:type="dxa" w:w="184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Nilai</w:t>
            </w:r>
          </w:p>
        </w:tc>
        <w:tc>
          <w:tcPr>
            <w:tcW w:type="dxa" w:w="2464"/>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Rentang</w:t>
            </w:r>
          </w:p>
        </w:tc>
        <w:tc>
          <w:tcPr>
            <w:tcW w:type="dxa" w:w="184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Nilai</w:t>
            </w:r>
          </w:p>
        </w:tc>
        <w:tc>
          <w:tcPr>
            <w:tcW w:type="dxa" w:w="2464"/>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Rentang</w:t>
            </w:r>
          </w:p>
        </w:tc>
        <w:tc>
          <w:tcPr>
            <w:tcW w:type="dxa" w:w="184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Nilai</w:t>
            </w:r>
          </w:p>
        </w:tc>
        <w:tc>
          <w:tcPr>
            <w:tcW w:type="dxa" w:w="2464"/>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Rentang</w:t>
            </w:r>
          </w:p>
        </w:tc>
        <w:tc>
          <w:tcPr>
            <w:tcW w:type="dxa" w:w="2464"/>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Ket.</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A</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 85</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B+</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75 – 79,99</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60 – 64,99</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Lulus min. C</w:t>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A-</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80 – 84,99</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B</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70 – 74,99</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C</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55 – 59,99</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
            </w:r>
          </w:p>
        </w:tc>
      </w:tr>
      <w:tr>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B-</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65 – 69,99</w:t>
            </w:r>
          </w:p>
        </w:tc>
        <w:tc>
          <w:tcPr>
            <w:tcW w:type="dxa" w:w="184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D / E</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&lt; 55</w:t>
            </w:r>
          </w:p>
        </w:tc>
        <w:tc>
          <w:tcPr>
            <w:tcW w:type="dxa" w:w="2464"/>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sz w:val="18"/>
                <w:szCs w:val="18"/>
              </w:rPr>
              <w:t xml:space="preserve">Tidak lulus</w:t>
            </w:r>
          </w:p>
        </w:tc>
      </w:tr>
    </w:tbl>
    <w:p>
      <w:pPr>
        <w:pStyle w:val="Heading2"/>
        <w:spacing w:after="100" w:before="240"/>
      </w:pPr>
      <w:r>
        <w:rPr>
          <w:rFonts w:ascii="Calibri" w:cs="Calibri" w:eastAsia="Calibri" w:hAnsi="Calibri"/>
          <w:b/>
          <w:bCs/>
          <w:color w:val="1F3864"/>
          <w:sz w:val="22"/>
          <w:szCs w:val="22"/>
        </w:rPr>
        <w:t xml:space="preserve">L. RUBRIK PENILAIAN PROPOSAL PENELITIAN (UAS)</w:t>
      </w:r>
    </w:p>
    <w:tbl>
      <w:tblPr>
        <w:tblW w:type="dxa" w:w="15400"/>
        <w:tblBorders>
          <w:top w:val="single" w:color="auto" w:sz="4"/>
          <w:left w:val="single" w:color="auto" w:sz="4"/>
          <w:bottom w:val="single" w:color="auto" w:sz="4"/>
          <w:right w:val="single" w:color="auto" w:sz="4"/>
          <w:insideH w:val="single" w:color="auto" w:sz="4"/>
          <w:insideV w:val="single" w:color="auto" w:sz="4"/>
        </w:tblBorders>
      </w:tblPr>
      <w:tblGrid>
        <w:gridCol w:w="2772"/>
        <w:gridCol w:w="3080"/>
        <w:gridCol w:w="3080"/>
        <w:gridCol w:w="3080"/>
        <w:gridCol w:w="3388"/>
      </w:tblGrid>
      <w:tr>
        <w:trPr>
          <w:tblHeader/>
        </w:trPr>
        <w:tc>
          <w:tcPr>
            <w:tcW w:type="dxa" w:w="2772"/>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Aspek</w:t>
            </w:r>
          </w:p>
        </w:tc>
        <w:tc>
          <w:tcPr>
            <w:tcW w:type="dxa" w:w="308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Kurang (&lt; 60)</w:t>
            </w:r>
          </w:p>
        </w:tc>
        <w:tc>
          <w:tcPr>
            <w:tcW w:type="dxa" w:w="308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Cukup (60–74)</w:t>
            </w:r>
          </w:p>
        </w:tc>
        <w:tc>
          <w:tcPr>
            <w:tcW w:type="dxa" w:w="3080"/>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Baik (75–84)</w:t>
            </w:r>
          </w:p>
        </w:tc>
        <w:tc>
          <w:tcPr>
            <w:tcW w:type="dxa" w:w="3388"/>
            <w:tcBorders>
              <w:top w:val="single" w:color="808080" w:sz="4"/>
              <w:left w:val="single" w:color="808080" w:sz="4"/>
              <w:bottom w:val="single" w:color="808080" w:sz="4"/>
              <w:right w:val="single" w:color="808080" w:sz="4"/>
            </w:tcBorders>
            <w:shd w:fill="D9E2F3" w:color="auto" w:val="clear"/>
            <w:tcMar>
              <w:top w:type="dxa" w:w="60"/>
              <w:left w:type="dxa" w:w="90"/>
              <w:bottom w:type="dxa" w:w="60"/>
              <w:right w:type="dxa" w:w="90"/>
            </w:tcMar>
            <w:vAlign w:val="center"/>
          </w:tcPr>
          <w:p>
            <w:pPr>
              <w:spacing w:after="0" w:before="0" w:line="260"/>
              <w:jc w:val="center"/>
            </w:pPr>
            <w:r>
              <w:rPr>
                <w:rFonts w:ascii="Calibri" w:cs="Calibri" w:eastAsia="Calibri" w:hAnsi="Calibri"/>
                <w:b/>
                <w:bCs/>
                <w:sz w:val="18"/>
                <w:szCs w:val="18"/>
              </w:rPr>
              <w:t xml:space="preserve">Sangat Baik (≥ 85)</w:t>
            </w:r>
          </w:p>
        </w:tc>
      </w:tr>
      <w:tr>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6"/>
                <w:szCs w:val="16"/>
              </w:rPr>
              <w:t xml:space="preserve">Latar belakang &amp; rumusan masalah (20%)</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Fenomena dan gap tidak jelas; rumusan tidak terukur</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Fenomena ada, gap lemah; rumusan cukup jelas</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Fenomena dan gap jelas; rumusan terukur</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Gap didukung data/literatur mutakhir; rumusan tajam dan orisinal</w:t>
            </w:r>
          </w:p>
        </w:tc>
      </w:tr>
      <w:tr>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6"/>
                <w:szCs w:val="16"/>
              </w:rPr>
              <w:t xml:space="preserve">Tinjauan pustaka &amp; hipotesis (20%)</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Referensi minim dan tidak relevan; hipotesis tidak berdasar</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Referensi cukup; hipotesis kurang didukung teori</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Referensi relevan dan mutakhir; hipotesis logis</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Sintesis literatur kritis; hipotesis kuat berbasis teori dan riset empiris</w:t>
            </w:r>
          </w:p>
        </w:tc>
      </w:tr>
      <w:tr>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6"/>
                <w:szCs w:val="16"/>
              </w:rPr>
              <w:t xml:space="preserve">Metode penelitian (30%)</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Desain, sampel, instrumen, dan analisis tidak sesuai</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Sebagian komponen metode sesuai</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Metode sesuai dan dijelaskan cukup rinci</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Metode sangat tepat, rinci, dan dapat direplikasi</w:t>
            </w:r>
          </w:p>
        </w:tc>
      </w:tr>
      <w:tr>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6"/>
                <w:szCs w:val="16"/>
              </w:rPr>
              <w:t xml:space="preserve">Penulisan &amp; sitasi (15%)</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Banyak kesalahan bahasa; sitasi tidak konsisten; similaritas &gt; 30%</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Bahasa cukup; sitasi kurang konsisten</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Bahasa baik; sitasi APA konsisten</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Bahasa ilmiah sangat baik; sitasi sempurna; similaritas ≤ 20%</w:t>
            </w:r>
          </w:p>
        </w:tc>
      </w:tr>
      <w:tr>
        <w:tc>
          <w:tcPr>
            <w:tcW w:type="dxa" w:w="2772"/>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bCs/>
                <w:sz w:val="16"/>
                <w:szCs w:val="16"/>
              </w:rPr>
              <w:t xml:space="preserve">Orisinalitas &amp; etika (15%)</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Terindikasi plagiarisme</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Kontribusi minim</w:t>
            </w:r>
          </w:p>
        </w:tc>
        <w:tc>
          <w:tcPr>
            <w:tcW w:type="dxa" w:w="3080"/>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Kontribusi jelas; etika terpenuhi</w:t>
            </w:r>
          </w:p>
        </w:tc>
        <w:tc>
          <w:tcPr>
            <w:tcW w:type="dxa" w:w="3388"/>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left"/>
            </w:pPr>
            <w:r>
              <w:rPr>
                <w:rFonts w:ascii="Calibri" w:cs="Calibri" w:eastAsia="Calibri" w:hAnsi="Calibri"/>
                <w:b w:val="false"/>
                <w:bCs w:val="false"/>
                <w:sz w:val="16"/>
                <w:szCs w:val="16"/>
              </w:rPr>
              <w:t xml:space="preserve">Kontribusi teoretis/praktis signifikan; etika penelitian eksplisit</w:t>
            </w:r>
          </w:p>
        </w:tc>
      </w:tr>
    </w:tbl>
    <w:p>
      <w:pPr>
        <w:pStyle w:val="Heading2"/>
        <w:spacing w:after="100" w:before="240"/>
      </w:pPr>
      <w:r>
        <w:rPr>
          <w:rFonts w:ascii="Calibri" w:cs="Calibri" w:eastAsia="Calibri" w:hAnsi="Calibri"/>
          <w:b/>
          <w:bCs/>
          <w:color w:val="1F3864"/>
          <w:sz w:val="22"/>
          <w:szCs w:val="22"/>
        </w:rPr>
        <w:t xml:space="preserve">M. PENGESAHAN</w:t>
      </w:r>
    </w:p>
    <w:tbl>
      <w:tblPr>
        <w:tblW w:type="dxa" w:w="15397"/>
        <w:tblBorders>
          <w:top w:val="single" w:color="auto" w:sz="4"/>
          <w:left w:val="single" w:color="auto" w:sz="4"/>
          <w:bottom w:val="single" w:color="auto" w:sz="4"/>
          <w:right w:val="single" w:color="auto" w:sz="4"/>
          <w:insideH w:val="single" w:color="auto" w:sz="4"/>
          <w:insideV w:val="single" w:color="auto" w:sz="4"/>
        </w:tblBorders>
      </w:tblPr>
      <w:tblGrid>
        <w:gridCol w:w="5081"/>
        <w:gridCol w:w="5235"/>
        <w:gridCol w:w="5081"/>
      </w:tblGrid>
      <w:tr>
        <w:tc>
          <w:tcPr>
            <w:tcW w:type="dxa" w:w="508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Dosen Pengampu</w:t>
            </w:r>
          </w:p>
          <w:p>
            <w:pPr>
              <w:spacing w:after="600" w:before="0" w:line="260"/>
              <w:jc w:val="left"/>
            </w:pPr>
            <w:r>
              <w:rPr>
                <w:rFonts w:ascii="Calibri" w:cs="Calibri" w:eastAsia="Calibri" w:hAnsi="Calibri"/>
                <w:sz w:val="18"/>
                <w:szCs w:val="18"/>
              </w:rPr>
              <w:t xml:space="preserve"/>
            </w:r>
          </w:p>
          <w:p>
            <w:pPr>
              <w:spacing w:after="0" w:before="0" w:line="260"/>
              <w:jc w:val="left"/>
            </w:pPr>
            <w:r>
              <w:rPr>
                <w:rFonts w:ascii="Calibri" w:cs="Calibri" w:eastAsia="Calibri" w:hAnsi="Calibri"/>
                <w:sz w:val="18"/>
                <w:szCs w:val="18"/>
              </w:rPr>
              <w:t xml:space="preserve"/>
            </w:r>
          </w:p>
          <w:p>
            <w:pPr>
              <w:spacing w:after="0" w:before="0" w:line="260"/>
              <w:jc w:val="center"/>
            </w:pPr>
            <w:r>
              <w:rPr>
                <w:rFonts w:ascii="Calibri" w:cs="Calibri" w:eastAsia="Calibri" w:hAnsi="Calibri"/>
                <w:sz w:val="18"/>
                <w:szCs w:val="18"/>
              </w:rPr>
              <w:t xml:space="preserve">( ______________________ )</w:t>
            </w:r>
          </w:p>
          <w:p>
            <w:pPr>
              <w:spacing w:after="0" w:before="0" w:line="260"/>
              <w:jc w:val="center"/>
            </w:pPr>
            <w:r>
              <w:rPr>
                <w:rFonts w:ascii="Calibri" w:cs="Calibri" w:eastAsia="Calibri" w:hAnsi="Calibri"/>
                <w:sz w:val="18"/>
                <w:szCs w:val="18"/>
              </w:rPr>
              <w:t xml:space="preserve">NIP/NIDN.</w:t>
            </w:r>
          </w:p>
        </w:tc>
        <w:tc>
          <w:tcPr>
            <w:tcW w:type="dxa" w:w="5235"/>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Koordinator Mata Kuliah</w:t>
            </w:r>
          </w:p>
          <w:p>
            <w:pPr>
              <w:spacing w:after="600" w:before="0" w:line="260"/>
              <w:jc w:val="left"/>
            </w:pPr>
            <w:r>
              <w:rPr>
                <w:rFonts w:ascii="Calibri" w:cs="Calibri" w:eastAsia="Calibri" w:hAnsi="Calibri"/>
                <w:sz w:val="18"/>
                <w:szCs w:val="18"/>
              </w:rPr>
              <w:t xml:space="preserve"/>
            </w:r>
          </w:p>
          <w:p>
            <w:pPr>
              <w:spacing w:after="0" w:before="0" w:line="260"/>
              <w:jc w:val="left"/>
            </w:pPr>
            <w:r>
              <w:rPr>
                <w:rFonts w:ascii="Calibri" w:cs="Calibri" w:eastAsia="Calibri" w:hAnsi="Calibri"/>
                <w:sz w:val="18"/>
                <w:szCs w:val="18"/>
              </w:rPr>
              <w:t xml:space="preserve"/>
            </w:r>
          </w:p>
          <w:p>
            <w:pPr>
              <w:spacing w:after="0" w:before="0" w:line="260"/>
              <w:jc w:val="center"/>
            </w:pPr>
            <w:r>
              <w:rPr>
                <w:rFonts w:ascii="Calibri" w:cs="Calibri" w:eastAsia="Calibri" w:hAnsi="Calibri"/>
                <w:sz w:val="18"/>
                <w:szCs w:val="18"/>
              </w:rPr>
              <w:t xml:space="preserve">( ______________________ )</w:t>
            </w:r>
          </w:p>
          <w:p>
            <w:pPr>
              <w:spacing w:after="0" w:before="0" w:line="260"/>
              <w:jc w:val="center"/>
            </w:pPr>
            <w:r>
              <w:rPr>
                <w:rFonts w:ascii="Calibri" w:cs="Calibri" w:eastAsia="Calibri" w:hAnsi="Calibri"/>
                <w:sz w:val="18"/>
                <w:szCs w:val="18"/>
              </w:rPr>
              <w:t xml:space="preserve">NIP/NIDN.</w:t>
            </w:r>
          </w:p>
        </w:tc>
        <w:tc>
          <w:tcPr>
            <w:tcW w:type="dxa" w:w="5081"/>
            <w:tcBorders>
              <w:top w:val="single" w:color="808080" w:sz="4"/>
              <w:left w:val="single" w:color="808080" w:sz="4"/>
              <w:bottom w:val="single" w:color="808080" w:sz="4"/>
              <w:right w:val="single" w:color="808080" w:sz="4"/>
            </w:tcBorders>
            <w:tcMar>
              <w:top w:type="dxa" w:w="60"/>
              <w:left w:type="dxa" w:w="90"/>
              <w:bottom w:type="dxa" w:w="60"/>
              <w:right w:type="dxa" w:w="90"/>
            </w:tcMar>
            <w:vAlign w:val="top"/>
          </w:tcPr>
          <w:p>
            <w:pPr>
              <w:spacing w:after="0" w:before="0" w:line="260"/>
              <w:jc w:val="center"/>
            </w:pPr>
            <w:r>
              <w:rPr>
                <w:rFonts w:ascii="Calibri" w:cs="Calibri" w:eastAsia="Calibri" w:hAnsi="Calibri"/>
                <w:b/>
                <w:bCs/>
                <w:sz w:val="18"/>
                <w:szCs w:val="18"/>
              </w:rPr>
              <w:t xml:space="preserve">Ketua Program Studi Manajemen</w:t>
            </w:r>
          </w:p>
          <w:p>
            <w:pPr>
              <w:spacing w:after="600" w:before="0" w:line="260"/>
              <w:jc w:val="left"/>
            </w:pPr>
            <w:r>
              <w:rPr>
                <w:rFonts w:ascii="Calibri" w:cs="Calibri" w:eastAsia="Calibri" w:hAnsi="Calibri"/>
                <w:sz w:val="18"/>
                <w:szCs w:val="18"/>
              </w:rPr>
              <w:t xml:space="preserve"/>
            </w:r>
          </w:p>
          <w:p>
            <w:pPr>
              <w:spacing w:after="0" w:before="0" w:line="260"/>
              <w:jc w:val="left"/>
            </w:pPr>
            <w:r>
              <w:rPr>
                <w:rFonts w:ascii="Calibri" w:cs="Calibri" w:eastAsia="Calibri" w:hAnsi="Calibri"/>
                <w:sz w:val="18"/>
                <w:szCs w:val="18"/>
              </w:rPr>
              <w:t xml:space="preserve"/>
            </w:r>
          </w:p>
          <w:p>
            <w:pPr>
              <w:spacing w:after="0" w:before="0" w:line="260"/>
              <w:jc w:val="center"/>
            </w:pPr>
            <w:r>
              <w:rPr>
                <w:rFonts w:ascii="Calibri" w:cs="Calibri" w:eastAsia="Calibri" w:hAnsi="Calibri"/>
                <w:sz w:val="18"/>
                <w:szCs w:val="18"/>
              </w:rPr>
              <w:t xml:space="preserve">( ______________________ )</w:t>
            </w:r>
          </w:p>
          <w:p>
            <w:pPr>
              <w:spacing w:after="0" w:before="0" w:line="260"/>
              <w:jc w:val="center"/>
            </w:pPr>
            <w:r>
              <w:rPr>
                <w:rFonts w:ascii="Calibri" w:cs="Calibri" w:eastAsia="Calibri" w:hAnsi="Calibri"/>
                <w:sz w:val="18"/>
                <w:szCs w:val="18"/>
              </w:rPr>
              <w:t xml:space="preserve">NIP/NIDN.</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2026-09-14T15:38:16.211Z</dcterms:created>
  <dcterms:modified xsi:type="dcterms:W3CDTF">2026-09-14T15:38:16.222Z</dcterms:modified>
</cp:coreProperties>
</file>

<file path=docProps/custom.xml><?xml version="1.0" encoding="utf-8"?>
<Properties xmlns="http://schemas.openxmlformats.org/officeDocument/2006/custom-properties" xmlns:vt="http://schemas.openxmlformats.org/officeDocument/2006/docPropsVTypes"/>
</file>